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MEMORANDO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Asunto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after="120"/>
        <w:pBdr>
          <w:bottom w:val="single" w:sz="8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Antecedentes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[Describa el hecho o la situación que origina este memorando, con fechas y documentos de referencia].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qué ocurrió, cuándo y quién intervino. Sea concreto y evite calificaciones personales].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Instrucción o solicitud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Por lo anterior, solicito [la acción concreta que espera: corregir, entregar, informar, adoptar una medida]. Esta instrucción aplica desde [fecha].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[Acción 1 con plazo]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[Acción 2 con plazo]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 quién reportar el cumplimiento]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[Nombre de la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[Talento Humano] · [carpeta del área]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Documento de comunicación interna. Los memorandos se radican con consecutivo y una copia se archiva en [hoja de vida del colaborador / carpeta del área].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Memorando interno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interno</dc:title>
  <dc:subject>Memorando interno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