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[City], [DD/MM/YYYY]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NON-DISCLOSURE AGREEMENT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Parties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Confidential information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All information the parties exchange in connection with [project, negotiation or business relationship] is considered confidential, in any format: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[Prices, discounts and commercial terms]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[Customer and supplier lists]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[Processes, formulas, developments and technical documentation]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[Financial and inventory information]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Obligations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Each party undertakes to: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[Use the information only for the purpose of the project]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[Not disclose it to third parties without written authorisation]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[Limit access to people who genuinely need it]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[Protect it with reasonable security measures]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Exceptions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Information is not confidential if it: is public through no fault of the receiving party; was already in its possession before receipt; must be disclosed at the request of a competent authority; or is lawfully obtained from a third party without a duty of confidence.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Term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Term of the agreement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Duration of the obligation after termination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Return of information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When the agreement ends, each party will return or destroy the information received and confirm this in writing when the other party asks.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Governing law and disputes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This agreement is interpreted under the laws of [country] and any dispute will be resolved [by the courts of [city] / through the dispute resolution mechanism the parties agree in writing].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[each party's file]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template is general guidance and is not legal advice. Before signing, have it reviewed by your adviser and adapted to your operation and country.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Non-disclosure agreement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confidencialidad</dc:title>
  <dc:subject>Acuerdo de confidencialidad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