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ACORDO DE CONFIDENCIALIDADE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[Parte 1]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[Parte 2]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Informação confidencial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É considerada informação confidencial toda a que as partes trocarem por ocasião de [projeto, negociação ou relação comercial], em qualquer suporte: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[Preços, descontos e condições comerciais]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[Listas de clientes e fornecedores]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[Processos, fórmulas, desenvolvimentos e documentação técnica]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[Informações financeiras e de estoque]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Obrigações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Cada parte se obriga a: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[Usar a informação apenas para o propósito do projeto]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[Não divulgá-la a terceiros sem autorização por escrito]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[Limitar o acesso às pessoas que realmente precisam dela]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[Protegê-la com medidas razoáveis de segurança]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Exceções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Não é confidencial a informação que: seja pública sem culpa de quem a recebe; já estivesse em seu poder antes de recebê-la; deva ser entregue por exigência de autoridade competente; ou seja obtida legitimamente de terceiro sem dever de sigilo.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Prazo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Vigência do acordo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Duração da obrigação após o término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Devolução das informações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Ao terminar o acordo, cada parte devolverá ou destruirá a informação recebida e confirmará por escrito quando a outra solicitar.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Lei aplicável e controvérsias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Este acordo é interpretado conforme as leis de [país] e qualquer controvérsia será resolvida [nos tribunais de [cidade] / pelo mecanismo de solução de controvérsias que as partes acordarem por escrito].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[arquivo de cada parte]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modelo é uma orientação geral e não constitui assessoria jurídica. Antes de assinar, revise-o com seu assessor para adaptá-lo à sua operação e ao seu país.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Acordo de confidencialidade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confidencialidad</dc:title>
  <dc:subject>Acuerdo de confidencialidad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