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autofit"/>
        <w:tblLook w:firstColumn="1" w:firstRow="1" w:lastColumn="0" w:lastRow="0" w:noHBand="0" w:noVBand="1" w:val="04A0"/>
      </w:tblPr>
      <w:tblGrid>
        <w:gridCol w:w="9638"/>
      </w:tblGrid>
      <w:tr>
        <w:tc>
          <w:tcPr>
            <w:tcW w:type="dxa" w:w="9638"/>
            <w:shd w:val="clear" w:color="auto" w:fill="404040"/>
            <w:tcMar>
              <w:top w:w="70" w:type="dxa"/>
              <w:left w:w="110" w:type="dxa"/>
              <w:bottom w:w="70" w:type="dxa"/>
              <w:right w:w="110" w:type="dxa"/>
            </w:tcMar>
          </w:tcPr>
          <w:p>
            <w:pPr>
              <w:spacing w:after="0"/>
            </w:pPr>
            <w:r>
              <w:rPr>
                <w:rFonts w:ascii="Calibri" w:hAnsi="Calibri" w:cs="Calibri"/>
                <w:b/>
                <w:i w:val="0"/>
                <w:color w:val="FFFFFF"/>
                <w:sz w:val="23"/>
              </w:rPr>
              <w:t>INVENTORY POLICY</w:t>
            </w:r>
          </w:p>
        </w:tc>
      </w:tr>
    </w:tbl>
    <w:p>
      <w:pPr>
        <w:spacing w:after="40"/>
      </w:pPr>
    </w:p>
    <w:tbl>
      <w:tblPr>
        <w:tblStyle w:val="TableGrid"/>
        <w:tblW w:type="auto" w:w="0"/>
        <w:tblLook w:firstColumn="1" w:firstRow="1" w:lastColumn="0" w:lastRow="0" w:noHBand="0" w:noVBand="1" w:val="04A0"/>
      </w:tblPr>
      <w:tblGrid>
        <w:gridCol w:w="2409"/>
        <w:gridCol w:w="2409"/>
        <w:gridCol w:w="2409"/>
        <w:gridCol w:w="2409"/>
      </w:tblGrid>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Document code</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[PI-___]</w:t>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Version</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1.0</w:t>
            </w:r>
          </w:p>
        </w:tc>
      </w:tr>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Date</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[DD/MM/YYYY]</w:t>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Document owner</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r>
          </w:p>
        </w:tc>
      </w:tr>
    </w:tbl>
    <w:p>
      <w:pPr>
        <w:spacing w:after="40"/>
      </w:pPr>
    </w:p>
    <w:p>
      <w:pPr>
        <w:spacing w:before="160" w:after="60"/>
        <w:pBdr>
          <w:bottom w:val="single" w:sz="4" w:space="4" w:color="A6A6A6"/>
        </w:pBdr>
      </w:pPr>
      <w:r>
        <w:rPr>
          <w:rFonts w:ascii="Calibri" w:hAnsi="Calibri" w:cs="Calibri"/>
          <w:b/>
          <w:i w:val="0"/>
          <w:color w:val="404040"/>
          <w:sz w:val="22"/>
        </w:rPr>
        <w:t>1. Purpose</w:t>
      </w:r>
    </w:p>
    <w:p>
      <w:pPr>
        <w:jc w:val="both"/>
      </w:pPr>
      <w:r>
        <w:rPr>
          <w:rFonts w:ascii="Calibri" w:hAnsi="Calibri" w:cs="Calibri"/>
          <w:b w:val="0"/>
          <w:i w:val="0"/>
          <w:color w:val="262626"/>
          <w:sz w:val="21"/>
        </w:rPr>
        <w:t>This policy defines how the company's inventory is recorded, controlled and verified, so that system stock and warehouse stock match and no issue goes without a supporting document.</w:t>
      </w:r>
    </w:p>
    <w:p>
      <w:pPr>
        <w:spacing w:before="160" w:after="60"/>
        <w:pBdr>
          <w:bottom w:val="single" w:sz="4" w:space="4" w:color="A6A6A6"/>
        </w:pBdr>
      </w:pPr>
      <w:r>
        <w:rPr>
          <w:rFonts w:ascii="Calibri" w:hAnsi="Calibri" w:cs="Calibri"/>
          <w:b/>
          <w:i w:val="0"/>
          <w:color w:val="404040"/>
          <w:sz w:val="22"/>
        </w:rPr>
        <w:t>2. Scope</w:t>
      </w:r>
    </w:p>
    <w:p>
      <w:pPr>
        <w:jc w:val="both"/>
      </w:pPr>
      <w:r>
        <w:rPr>
          <w:rFonts w:ascii="Calibri" w:hAnsi="Calibri" w:cs="Calibri"/>
          <w:b w:val="0"/>
          <w:i w:val="0"/>
          <w:color w:val="262626"/>
          <w:sz w:val="21"/>
        </w:rPr>
        <w:t>[Areas, warehouses, sites and types of goods it applies to. State what is out of scope.]</w:t>
      </w:r>
    </w:p>
    <w:p>
      <w:pPr>
        <w:spacing w:before="160" w:after="60"/>
        <w:pBdr>
          <w:bottom w:val="single" w:sz="4" w:space="4" w:color="A6A6A6"/>
        </w:pBdr>
      </w:pPr>
      <w:r>
        <w:rPr>
          <w:rFonts w:ascii="Calibri" w:hAnsi="Calibri" w:cs="Calibri"/>
          <w:b/>
          <w:i w:val="0"/>
          <w:color w:val="404040"/>
          <w:sz w:val="22"/>
        </w:rPr>
        <w:t>3. Definitions</w:t>
      </w:r>
    </w:p>
    <w:p>
      <w:pPr>
        <w:pStyle w:val="ListBullet"/>
        <w:spacing w:after="40"/>
      </w:pPr>
      <w:r>
        <w:rPr>
          <w:rFonts w:ascii="Calibri" w:hAnsi="Calibri" w:cs="Calibri"/>
          <w:b w:val="0"/>
          <w:i w:val="0"/>
          <w:color w:val="262626"/>
          <w:sz w:val="20"/>
        </w:rPr>
        <w:t>[Stock on hand: units available according to the system]</w:t>
      </w:r>
    </w:p>
    <w:p>
      <w:pPr>
        <w:pStyle w:val="ListBullet"/>
        <w:spacing w:after="40"/>
      </w:pPr>
      <w:r>
        <w:rPr>
          <w:rFonts w:ascii="Calibri" w:hAnsi="Calibri" w:cs="Calibri"/>
          <w:b w:val="0"/>
          <w:i w:val="0"/>
          <w:color w:val="262626"/>
          <w:sz w:val="20"/>
        </w:rPr>
        <w:t>[Movement: receipt, issue, transfer or adjustment]</w:t>
      </w:r>
    </w:p>
    <w:p>
      <w:pPr>
        <w:pStyle w:val="ListBullet"/>
        <w:spacing w:after="40"/>
      </w:pPr>
      <w:r>
        <w:rPr>
          <w:rFonts w:ascii="Calibri" w:hAnsi="Calibri" w:cs="Calibri"/>
          <w:b w:val="0"/>
          <w:i w:val="0"/>
          <w:color w:val="262626"/>
          <w:sz w:val="20"/>
        </w:rPr>
        <w:t>[Count: physical check against the system]</w:t>
      </w:r>
    </w:p>
    <w:p>
      <w:pPr>
        <w:pStyle w:val="ListBullet"/>
        <w:spacing w:after="40"/>
      </w:pPr>
      <w:r>
        <w:rPr>
          <w:rFonts w:ascii="Calibri" w:hAnsi="Calibri" w:cs="Calibri"/>
          <w:b w:val="0"/>
          <w:i w:val="0"/>
          <w:color w:val="262626"/>
          <w:sz w:val="20"/>
        </w:rPr>
        <w:t>[Non-conforming goods: damaged, expired or incomplete stock]</w:t>
      </w:r>
    </w:p>
    <w:p>
      <w:pPr>
        <w:spacing w:before="160" w:after="60"/>
        <w:pBdr>
          <w:bottom w:val="single" w:sz="4" w:space="4" w:color="A6A6A6"/>
        </w:pBdr>
      </w:pPr>
      <w:r>
        <w:rPr>
          <w:rFonts w:ascii="Calibri" w:hAnsi="Calibri" w:cs="Calibri"/>
          <w:b/>
          <w:i w:val="0"/>
          <w:color w:val="404040"/>
          <w:sz w:val="22"/>
        </w:rPr>
        <w:t>4. Policy statements</w:t>
      </w:r>
    </w:p>
    <w:p>
      <w:pPr>
        <w:pStyle w:val="ListNumber"/>
        <w:spacing w:after="40"/>
      </w:pPr>
      <w:r>
        <w:rPr>
          <w:rFonts w:ascii="Calibri" w:hAnsi="Calibri" w:cs="Calibri"/>
          <w:b w:val="0"/>
          <w:i w:val="0"/>
          <w:color w:val="262626"/>
          <w:sz w:val="20"/>
        </w:rPr>
        <w:t>Every inventory movement is recorded in the system on the day it happens, with an identified supporting document.</w:t>
      </w:r>
    </w:p>
    <w:p>
      <w:pPr>
        <w:pStyle w:val="ListNumber"/>
        <w:spacing w:after="40"/>
      </w:pPr>
      <w:r>
        <w:rPr>
          <w:rFonts w:ascii="Calibri" w:hAnsi="Calibri" w:cs="Calibri"/>
          <w:b w:val="0"/>
          <w:i w:val="0"/>
          <w:color w:val="262626"/>
          <w:sz w:val="20"/>
        </w:rPr>
        <w:t>No goods leave the warehouse without a document approved by the area manager.</w:t>
      </w:r>
    </w:p>
    <w:p>
      <w:pPr>
        <w:pStyle w:val="ListNumber"/>
        <w:spacing w:after="40"/>
      </w:pPr>
      <w:r>
        <w:rPr>
          <w:rFonts w:ascii="Calibri" w:hAnsi="Calibri" w:cs="Calibri"/>
          <w:b w:val="0"/>
          <w:i w:val="0"/>
          <w:color w:val="262626"/>
          <w:sz w:val="20"/>
        </w:rPr>
        <w:t>Warehouses have identified locations and each product has a single main location.</w:t>
      </w:r>
    </w:p>
    <w:p>
      <w:pPr>
        <w:pStyle w:val="ListNumber"/>
        <w:spacing w:after="40"/>
      </w:pPr>
      <w:r>
        <w:rPr>
          <w:rFonts w:ascii="Calibri" w:hAnsi="Calibri" w:cs="Calibri"/>
          <w:b w:val="0"/>
          <w:i w:val="0"/>
          <w:color w:val="262626"/>
          <w:sz w:val="20"/>
        </w:rPr>
        <w:t>Physical counts are carried out at the defined frequency and differences are investigated before being adjusted.</w:t>
      </w:r>
    </w:p>
    <w:p>
      <w:pPr>
        <w:pStyle w:val="ListNumber"/>
        <w:spacing w:after="40"/>
      </w:pPr>
      <w:r>
        <w:rPr>
          <w:rFonts w:ascii="Calibri" w:hAnsi="Calibri" w:cs="Calibri"/>
          <w:b w:val="0"/>
          <w:i w:val="0"/>
          <w:color w:val="262626"/>
          <w:sz w:val="20"/>
        </w:rPr>
        <w:t>Inventory adjustments are authorised by [position] and recorded with a reason and evidence.</w:t>
      </w:r>
    </w:p>
    <w:p>
      <w:pPr>
        <w:pStyle w:val="ListNumber"/>
        <w:spacing w:after="40"/>
      </w:pPr>
      <w:r>
        <w:rPr>
          <w:rFonts w:ascii="Calibri" w:hAnsi="Calibri" w:cs="Calibri"/>
          <w:b w:val="0"/>
          <w:i w:val="0"/>
          <w:color w:val="262626"/>
          <w:sz w:val="20"/>
        </w:rPr>
        <w:t>Non-conforming goods are separated, identified and decided in writing (return, rework, write-off or disposal).</w:t>
      </w:r>
    </w:p>
    <w:p>
      <w:pPr>
        <w:pStyle w:val="ListNumber"/>
        <w:spacing w:after="40"/>
      </w:pPr>
      <w:r>
        <w:rPr>
          <w:rFonts w:ascii="Calibri" w:hAnsi="Calibri" w:cs="Calibri"/>
          <w:b w:val="0"/>
          <w:i w:val="0"/>
          <w:color w:val="262626"/>
          <w:sz w:val="20"/>
        </w:rPr>
        <w:t>Goods in transit and goods held on consignment are controlled separately.</w:t>
      </w:r>
    </w:p>
    <w:p>
      <w:pPr>
        <w:pStyle w:val="ListNumber"/>
        <w:spacing w:after="40"/>
      </w:pPr>
      <w:r>
        <w:rPr>
          <w:rFonts w:ascii="Calibri" w:hAnsi="Calibri" w:cs="Calibri"/>
          <w:b w:val="0"/>
          <w:i w:val="0"/>
          <w:color w:val="262626"/>
          <w:sz w:val="20"/>
        </w:rPr>
        <w:t>Access to change stock in the system is restricted to authorised profiles and is recorded in the log.</w:t>
      </w:r>
    </w:p>
    <w:p>
      <w:pPr>
        <w:spacing w:before="160" w:after="60"/>
        <w:pBdr>
          <w:bottom w:val="single" w:sz="4" w:space="4" w:color="A6A6A6"/>
        </w:pBdr>
      </w:pPr>
      <w:r>
        <w:rPr>
          <w:rFonts w:ascii="Calibri" w:hAnsi="Calibri" w:cs="Calibri"/>
          <w:b/>
          <w:i w:val="0"/>
          <w:color w:val="404040"/>
          <w:sz w:val="22"/>
        </w:rPr>
        <w:t>5. Roles and responsibilities</w:t>
      </w:r>
    </w:p>
    <w:tbl>
      <w:tblPr>
        <w:tblStyle w:val="TableGrid"/>
        <w:tblW w:type="auto" w:w="0"/>
        <w:tblLook w:firstColumn="1" w:firstRow="1" w:lastColumn="0" w:lastRow="0" w:noHBand="0" w:noVBand="1" w:val="04A0"/>
      </w:tblPr>
      <w:tblGrid>
        <w:gridCol w:w="4819"/>
        <w:gridCol w:w="4819"/>
      </w:tblGrid>
      <w:tr>
        <w:trPr>
          <w:tblHeader w:val="true"/>
        </w:trPr>
        <w:tc>
          <w:tcPr>
            <w:tcW w:type="dxa" w:w="4819"/>
            <w:shd w:val="clear" w:color="auto" w:fill="595959"/>
            <w:tcMar>
              <w:top w:w="40" w:type="dxa"/>
              <w:left w:w="80" w:type="dxa"/>
              <w:bottom w:w="40" w:type="dxa"/>
              <w:right w:w="80" w:type="dxa"/>
            </w:tcMar>
          </w:tcPr>
          <w:p>
            <w:pPr>
              <w:spacing w:after="0"/>
            </w:pPr>
            <w:r>
              <w:rPr>
                <w:rFonts w:ascii="Calibri" w:hAnsi="Calibri" w:cs="Calibri"/>
                <w:b/>
                <w:i w:val="0"/>
                <w:color w:val="FFFFFF"/>
                <w:sz w:val="18"/>
              </w:rPr>
              <w:t>Role or position</w:t>
            </w:r>
          </w:p>
        </w:tc>
        <w:tc>
          <w:tcPr>
            <w:tcW w:type="dxa" w:w="4819"/>
            <w:shd w:val="clear" w:color="auto" w:fill="595959"/>
            <w:tcMar>
              <w:top w:w="40" w:type="dxa"/>
              <w:left w:w="80" w:type="dxa"/>
              <w:bottom w:w="40" w:type="dxa"/>
              <w:right w:w="80" w:type="dxa"/>
            </w:tcMar>
          </w:tcPr>
          <w:p>
            <w:pPr>
              <w:spacing w:after="0"/>
            </w:pPr>
            <w:r>
              <w:rPr>
                <w:rFonts w:ascii="Calibri" w:hAnsi="Calibri" w:cs="Calibri"/>
                <w:b/>
                <w:i w:val="0"/>
                <w:color w:val="FFFFFF"/>
                <w:sz w:val="18"/>
              </w:rPr>
              <w:t>Responsibility</w:t>
            </w:r>
          </w:p>
        </w:tc>
      </w:tr>
      <w:tr>
        <w:tc>
          <w:tcPr>
            <w:tcW w:type="dxa" w:w="4819"/>
            <w:tcMar>
              <w:top w:w="40" w:type="dxa"/>
              <w:left w:w="80" w:type="dxa"/>
              <w:bottom w:w="40" w:type="dxa"/>
              <w:right w:w="80" w:type="dxa"/>
            </w:tcMar>
          </w:tcPr>
          <w:p>
            <w:pPr>
              <w:spacing w:after="0"/>
            </w:pPr>
            <w:r>
              <w:rPr>
                <w:rFonts w:ascii="Calibri" w:hAnsi="Calibri" w:cs="Calibri"/>
                <w:b w:val="0"/>
                <w:i w:val="0"/>
                <w:color w:val="262626"/>
                <w:sz w:val="18"/>
              </w:rPr>
              <w:t>Management</w:t>
            </w:r>
          </w:p>
        </w:tc>
        <w:tc>
          <w:tcPr>
            <w:tcW w:type="dxa" w:w="481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4819"/>
            <w:tcMar>
              <w:top w:w="40" w:type="dxa"/>
              <w:left w:w="80" w:type="dxa"/>
              <w:bottom w:w="40" w:type="dxa"/>
              <w:right w:w="80" w:type="dxa"/>
            </w:tcMar>
          </w:tcPr>
          <w:p>
            <w:pPr>
              <w:spacing w:after="0"/>
            </w:pPr>
            <w:r>
              <w:rPr>
                <w:rFonts w:ascii="Calibri" w:hAnsi="Calibri" w:cs="Calibri"/>
                <w:b w:val="0"/>
                <w:i w:val="0"/>
                <w:color w:val="262626"/>
                <w:sz w:val="18"/>
              </w:rPr>
              <w:t>Warehouse manager</w:t>
            </w:r>
          </w:p>
        </w:tc>
        <w:tc>
          <w:tcPr>
            <w:tcW w:type="dxa" w:w="481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4819"/>
            <w:tcMar>
              <w:top w:w="40" w:type="dxa"/>
              <w:left w:w="80" w:type="dxa"/>
              <w:bottom w:w="40" w:type="dxa"/>
              <w:right w:w="80" w:type="dxa"/>
            </w:tcMar>
          </w:tcPr>
          <w:p>
            <w:pPr>
              <w:spacing w:after="0"/>
            </w:pPr>
            <w:r>
              <w:rPr>
                <w:rFonts w:ascii="Calibri" w:hAnsi="Calibri" w:cs="Calibri"/>
                <w:b w:val="0"/>
                <w:i w:val="0"/>
                <w:color w:val="262626"/>
                <w:sz w:val="18"/>
              </w:rPr>
              <w:t>Warehouse assistant</w:t>
            </w:r>
          </w:p>
        </w:tc>
        <w:tc>
          <w:tcPr>
            <w:tcW w:type="dxa" w:w="481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4819"/>
            <w:tcMar>
              <w:top w:w="40" w:type="dxa"/>
              <w:left w:w="80" w:type="dxa"/>
              <w:bottom w:w="40" w:type="dxa"/>
              <w:right w:w="80" w:type="dxa"/>
            </w:tcMar>
          </w:tcPr>
          <w:p>
            <w:pPr>
              <w:spacing w:after="0"/>
            </w:pPr>
            <w:r>
              <w:rPr>
                <w:rFonts w:ascii="Calibri" w:hAnsi="Calibri" w:cs="Calibri"/>
                <w:b w:val="0"/>
                <w:i w:val="0"/>
                <w:color w:val="262626"/>
                <w:sz w:val="18"/>
              </w:rPr>
              <w:t>Accounting or costing</w:t>
            </w:r>
          </w:p>
        </w:tc>
        <w:tc>
          <w:tcPr>
            <w:tcW w:type="dxa" w:w="481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4819"/>
            <w:tcMar>
              <w:top w:w="40" w:type="dxa"/>
              <w:left w:w="80" w:type="dxa"/>
              <w:bottom w:w="40" w:type="dxa"/>
              <w:right w:w="80" w:type="dxa"/>
            </w:tcMar>
          </w:tcPr>
          <w:p>
            <w:pPr>
              <w:spacing w:after="0"/>
            </w:pPr>
            <w:r>
              <w:rPr>
                <w:rFonts w:ascii="Calibri" w:hAnsi="Calibri" w:cs="Calibri"/>
                <w:b w:val="0"/>
                <w:i w:val="0"/>
                <w:color w:val="262626"/>
                <w:sz w:val="18"/>
              </w:rPr>
              <w:t>Purchasing</w:t>
            </w:r>
          </w:p>
        </w:tc>
        <w:tc>
          <w:tcPr>
            <w:tcW w:type="dxa" w:w="481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4819"/>
            <w:tcMar>
              <w:top w:w="40" w:type="dxa"/>
              <w:left w:w="80" w:type="dxa"/>
              <w:bottom w:w="40" w:type="dxa"/>
              <w:right w:w="80" w:type="dxa"/>
            </w:tcMar>
          </w:tcPr>
          <w:p>
            <w:pPr>
              <w:spacing w:after="0"/>
            </w:pPr>
            <w:r>
              <w:rPr>
                <w:rFonts w:ascii="Calibri" w:hAnsi="Calibri" w:cs="Calibri"/>
                <w:b w:val="0"/>
                <w:i w:val="0"/>
                <w:color w:val="262626"/>
                <w:sz w:val="18"/>
              </w:rPr>
              <w:t>Audit or internal control</w:t>
            </w:r>
          </w:p>
        </w:tc>
        <w:tc>
          <w:tcPr>
            <w:tcW w:type="dxa" w:w="4819"/>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p>
      <w:pPr>
        <w:spacing w:before="160" w:after="60"/>
        <w:pBdr>
          <w:bottom w:val="single" w:sz="4" w:space="4" w:color="A6A6A6"/>
        </w:pBdr>
      </w:pPr>
      <w:r>
        <w:rPr>
          <w:rFonts w:ascii="Calibri" w:hAnsi="Calibri" w:cs="Calibri"/>
          <w:b/>
          <w:i w:val="0"/>
          <w:color w:val="404040"/>
          <w:sz w:val="22"/>
        </w:rPr>
        <w:t>6. Indicators</w:t>
      </w:r>
    </w:p>
    <w:tbl>
      <w:tblPr>
        <w:tblStyle w:val="TableGrid"/>
        <w:tblW w:type="auto" w:w="0"/>
        <w:tblLook w:firstColumn="1" w:firstRow="1" w:lastColumn="0" w:lastRow="0" w:noHBand="0" w:noVBand="1" w:val="04A0"/>
      </w:tblPr>
      <w:tblGrid>
        <w:gridCol w:w="2409"/>
        <w:gridCol w:w="2409"/>
        <w:gridCol w:w="2409"/>
        <w:gridCol w:w="2409"/>
      </w:tblGrid>
      <w:tr>
        <w:trPr>
          <w:tblHeader w:val="true"/>
        </w:trPr>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Indicator</w:t>
            </w:r>
          </w:p>
        </w:tc>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Target</w:t>
            </w:r>
          </w:p>
        </w:tc>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Frequency</w:t>
            </w:r>
          </w:p>
        </w:tc>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Data source</w:t>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t>Inventory accuracy</w:t>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t>Count differences</w:t>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t>Issues without a document</w:t>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t>Stock turnover</w:t>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p>
      <w:pPr>
        <w:spacing w:before="160" w:after="60"/>
        <w:pBdr>
          <w:bottom w:val="single" w:sz="4" w:space="4" w:color="A6A6A6"/>
        </w:pBdr>
      </w:pPr>
      <w:r>
        <w:rPr>
          <w:rFonts w:ascii="Calibri" w:hAnsi="Calibri" w:cs="Calibri"/>
          <w:b/>
          <w:i w:val="0"/>
          <w:color w:val="404040"/>
          <w:sz w:val="22"/>
        </w:rPr>
        <w:t>7. Validity and change control</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[Position approving the policy]</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[Date of the next review]</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[DD/MM/YYYY]</w:t>
            </w:r>
          </w:p>
        </w:tc>
      </w:tr>
    </w:tbl>
    <w:p>
      <w:pPr>
        <w:spacing w:after="40"/>
      </w:pPr>
    </w:p>
    <w:p>
      <w:pPr>
        <w:spacing w:before="160" w:after="60"/>
        <w:pBdr>
          <w:bottom w:val="single" w:sz="4" w:space="4" w:color="A6A6A6"/>
        </w:pBdr>
      </w:pPr>
      <w:r>
        <w:rPr>
          <w:rFonts w:ascii="Calibri" w:hAnsi="Calibri" w:cs="Calibri"/>
          <w:b/>
          <w:i w:val="0"/>
          <w:color w:val="404040"/>
          <w:sz w:val="22"/>
        </w:rPr>
        <w:t>8. Signatures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19"/>
        <w:gridCol w:w="4819"/>
      </w:tblGrid>
      <w:tr>
        <w:tc>
          <w:tcPr>
            <w:tcW w:type="dxa" w:w="4819"/>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tc>
        <w:tc>
          <w:tcPr>
            <w:tcW w:type="dxa" w:w="4819"/>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tc>
      </w:tr>
    </w:tbl>
    <w:tbl>
      <w:tblPr>
        <w:tblW w:type="auto" w:w="0"/>
        <w:tblLook w:firstColumn="1" w:firstRow="1" w:lastColumn="0" w:lastRow="0" w:noHBand="0" w:noVBand="1" w:val="04A0"/>
      </w:tblPr>
      <w:tblGrid>
        <w:gridCol w:w="9638"/>
      </w:tblGrid>
      <w:tr>
        <w:tc>
          <w:tcPr>
            <w:tcW w:type="dxa" w:w="9638"/>
            <w:shd w:val="clear" w:color="auto" w:fill="F7F7F7"/>
            <w:tcBorders>
              <w:top w:val="single" w:sz="6" w:space="0" w:color="A6A6A6"/>
              <w:left w:val="single" w:sz="6" w:space="0" w:color="A6A6A6"/>
              <w:bottom w:val="single" w:sz="6" w:space="0" w:color="A6A6A6"/>
              <w:right w:val="single" w:sz="6" w:space="0" w:color="A6A6A6"/>
            </w:tcBorders>
            <w:tcMar>
              <w:top w:w="90" w:type="dxa"/>
              <w:left w:w="140" w:type="dxa"/>
              <w:bottom w:w="90" w:type="dxa"/>
              <w:right w:w="140" w:type="dxa"/>
            </w:tcMar>
          </w:tcPr>
          <w:p>
            <w:pPr>
              <w:spacing w:after="0"/>
            </w:pPr>
            <w:r>
              <w:rPr>
                <w:rFonts w:ascii="Calibri" w:hAnsi="Calibri" w:cs="Calibri"/>
                <w:b w:val="0"/>
                <w:i w:val="0"/>
                <w:color w:val="595959"/>
                <w:sz w:val="18"/>
              </w:rPr>
              <w:t>This policy is the house rule: if the system and the paperwork disagree, the count wins, but the difference is explained in writing. Have it reviewed by your accountant before publishing and update it when the operation changes.</w:t>
            </w:r>
          </w:p>
        </w:tc>
      </w:tr>
    </w:tbl>
    <w:p>
      <w:pPr>
        <w:spacing w:after="40"/>
      </w:pP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Bdr>
        <w:top w:val="single" w:sz="4" w:space="4" w:color="A6A6A6"/>
      </w:pBdr>
    </w:pPr>
    <w:r/>
    <w:r>
      <w:rPr>
        <w:rFonts w:ascii="Calibri" w:hAnsi="Calibri" w:cs="Calibri"/>
        <w:b w:val="0"/>
        <w:i w:val="0"/>
        <w:color w:val="595959"/>
        <w:sz w:val="16"/>
      </w:rPr>
      <w:t xml:space="preserve">[Company name] · Inventory policy    </w:t>
    </w:r>
    <w:r>
      <w:rPr>
        <w:rFonts w:ascii="Calibri" w:hAnsi="Calibri" w:cs="Calibri"/>
        <w:b w:val="0"/>
        <w:i w:val="0"/>
        <w:color w:val="595959"/>
        <w:sz w:val="16"/>
      </w:rPr>
      <w:t xml:space="preserve">Page </w:t>
    </w:r>
    <w:fldSimple w:instr="PAGE">
      <w:r>
        <w:rPr>
          <w:sz w:val="16"/>
          <w:color w:val="595959"/>
        </w:rPr>
        <w:t>1</w:t>
      </w:r>
    </w:fldSimple>
    <w:r/>
    <w:r>
      <w:rPr>
        <w:rFonts w:ascii="Calibri" w:hAnsi="Calibri" w:cs="Calibri"/>
        <w:b w:val="0"/>
        <w:i w:val="0"/>
        <w:color w:val="595959"/>
        <w:sz w:val="16"/>
      </w:rPr>
      <w:t xml:space="preserve"> of </w:t>
    </w:r>
    <w:fldSimple w:instr="NUMPAGES">
      <w:r>
        <w:rPr>
          <w:sz w:val="16"/>
          <w:color w:val="595959"/>
        </w:rPr>
        <w:t>1</w:t>
      </w:r>
    </w:fldSimpl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pPr>
    <w:rPr>
      <w:rFonts w:ascii="Calibri" w:hAnsi="Calibri" w:cs="Calibri" w:eastAsia="Calibri"/>
      <w:color w:val="26262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Política de inventarios</dc:title>
  <dc:subject>Política de inventarios</dc:subject>
  <dc:creator>Kardex Tauro</dc:creator>
  <cp:keywords/>
  <dc:description>Plantilla gratuita de kardex-tauro.muisca.co</dc:description>
  <cp:lastModifiedBy/>
  <cp:revision>1</cp:revision>
  <dcterms:created xsi:type="dcterms:W3CDTF">2013-12-23T23:15:00Z</dcterms:created>
  <dcterms:modified xsi:type="dcterms:W3CDTF">2013-12-23T23:15:00Z</dcterms:modified>
  <cp:category/>
</cp:coreProperties>
</file>