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COMMERCIAL LEASE AGREEMENT</w:t>
            </w:r>
          </w:p>
        </w:tc>
      </w:tr>
    </w:tbl>
    <w:p>
      <w:pPr>
        <w:spacing w:after="40"/>
      </w:pPr>
    </w:p>
    <w:p>
      <w:r>
        <w:rPr>
          <w:rFonts w:ascii="Calibri" w:hAnsi="Calibri" w:cs="Calibri"/>
          <w:b w:val="0"/>
          <w:i/>
          <w:color w:val="595959"/>
          <w:sz w:val="19"/>
        </w:rPr>
        <w:t>General-purpose model to lease premises where a business is run</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[AL-___]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Approved by</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Area or process</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Agreement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Agreement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 and date of signature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Form (written / verbal)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Copies signed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Parties</w:t>
      </w:r>
    </w:p>
    <w:p>
      <w:r>
        <w:rPr>
          <w:rFonts w:ascii="Calibri" w:hAnsi="Calibri" w:cs="Calibri"/>
          <w:b w:val="0"/>
          <w:i w:val="0"/>
          <w:color w:val="262626"/>
          <w:sz w:val="21"/>
        </w:rPr>
        <w:t>LANDLORD (party handing over the premises)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r>
        <w:rPr>
          <w:rFonts w:ascii="Calibri" w:hAnsi="Calibri" w:cs="Calibri"/>
          <w:b w:val="0"/>
          <w:i w:val="0"/>
          <w:color w:val="262626"/>
          <w:sz w:val="21"/>
        </w:rPr>
        <w:t>TENANT (party receiving the premises)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Tenant trading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Premises being leased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Premises 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 or municipality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Approximate floor area in square metres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Reference or registry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Utilities available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Extras (shop window, storage, parking)</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Condition on handover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Permitted use and business activity</w:t>
      </w:r>
    </w:p>
    <w:p>
      <w:pPr>
        <w:jc w:val="both"/>
      </w:pPr>
      <w:r>
        <w:rPr>
          <w:rFonts w:ascii="Calibri" w:hAnsi="Calibri" w:cs="Calibri"/>
          <w:b w:val="0"/>
          <w:i w:val="0"/>
          <w:color w:val="262626"/>
          <w:sz w:val="21"/>
        </w:rPr>
        <w:t>The premises are used only for the business activity written here. Any change of activity requires the landlord's written consent and, where applicable, an update of the tenant's operating permits.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Authorised business activity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Tenant trading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5. Rent and payment terms</w:t>
      </w:r>
    </w:p>
    <w:tbl>
      <w:tblPr>
        <w:tblStyle w:val="TableGrid"/>
        <w:tblW w:type="auto" w:w="0"/>
        <w:tblLook w:firstColumn="1" w:firstRow="1" w:lastColumn="0" w:lastRow="0" w:noHBand="0" w:noVBand="1" w:val="04A0"/>
      </w:tblPr>
      <w:tblGrid>
        <w:gridCol w:w="4819"/>
        <w:gridCol w:w="4819"/>
      </w:tblGrid>
      <w:tr>
        <w:trPr>
          <w:tblHeader w:val="true"/>
        </w:trPr>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Item</w:t>
            </w:r>
          </w:p>
        </w:tc>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Amount or terms</w:t>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Monthly rent</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Currency</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Payment day each month</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Agreed payment method</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Agreed annual increase (in percent)</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Charge for late payment (descriptive)</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Deposit or guarantee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Deposit amount paid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What it may be applied 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How and when it is returned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7. Term, renewal and notice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Start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End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Agreed renewal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Notice to end it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8. Landlord obligations</w:t>
      </w:r>
    </w:p>
    <w:p>
      <w:pPr>
        <w:pStyle w:val="ListNumber"/>
        <w:spacing w:after="40"/>
      </w:pPr>
      <w:r>
        <w:rPr>
          <w:rFonts w:ascii="Calibri" w:hAnsi="Calibri" w:cs="Calibri"/>
          <w:b w:val="0"/>
          <w:i w:val="0"/>
          <w:color w:val="262626"/>
          <w:sz w:val="20"/>
        </w:rPr>
        <w:t>Hand over the premises on the agreed date and in the agreed condition, with utilities paid up.</w:t>
      </w:r>
    </w:p>
    <w:p>
      <w:pPr>
        <w:pStyle w:val="ListNumber"/>
        <w:spacing w:after="40"/>
      </w:pPr>
      <w:r>
        <w:rPr>
          <w:rFonts w:ascii="Calibri" w:hAnsi="Calibri" w:cs="Calibri"/>
          <w:b w:val="0"/>
          <w:i w:val="0"/>
          <w:color w:val="262626"/>
          <w:sz w:val="20"/>
        </w:rPr>
        <w:t>Keep the premises fit for the agreed commercial use.</w:t>
      </w:r>
    </w:p>
    <w:p>
      <w:pPr>
        <w:pStyle w:val="ListNumber"/>
        <w:spacing w:after="40"/>
      </w:pPr>
      <w:r>
        <w:rPr>
          <w:rFonts w:ascii="Calibri" w:hAnsi="Calibri" w:cs="Calibri"/>
          <w:b w:val="0"/>
          <w:i w:val="0"/>
          <w:color w:val="262626"/>
          <w:sz w:val="20"/>
        </w:rPr>
        <w:t>Cover the repairs that are needed and are not caused by misuse.</w:t>
      </w:r>
    </w:p>
    <w:p>
      <w:pPr>
        <w:pStyle w:val="ListNumber"/>
        <w:spacing w:after="40"/>
      </w:pPr>
      <w:r>
        <w:rPr>
          <w:rFonts w:ascii="Calibri" w:hAnsi="Calibri" w:cs="Calibri"/>
          <w:b w:val="0"/>
          <w:i w:val="0"/>
          <w:color w:val="262626"/>
          <w:sz w:val="20"/>
        </w:rPr>
        <w:t>Respect the agreed rent and term while the agreement is in force.</w:t>
      </w:r>
    </w:p>
    <w:p>
      <w:pPr>
        <w:pStyle w:val="ListNumber"/>
        <w:spacing w:after="40"/>
      </w:pPr>
      <w:r>
        <w:rPr>
          <w:rFonts w:ascii="Calibri" w:hAnsi="Calibri" w:cs="Calibri"/>
          <w:b w:val="0"/>
          <w:i w:val="0"/>
          <w:color w:val="262626"/>
          <w:sz w:val="20"/>
        </w:rPr>
        <w:t>Give the tenant a signed copy of the agreement and of the handover record.</w:t>
      </w:r>
    </w:p>
    <w:p>
      <w:pPr>
        <w:spacing w:before="160" w:after="60"/>
        <w:pBdr>
          <w:bottom w:val="single" w:sz="4" w:space="4" w:color="A6A6A6"/>
        </w:pBdr>
      </w:pPr>
      <w:r>
        <w:rPr>
          <w:rFonts w:ascii="Calibri" w:hAnsi="Calibri" w:cs="Calibri"/>
          <w:b/>
          <w:i w:val="0"/>
          <w:color w:val="404040"/>
          <w:sz w:val="22"/>
        </w:rPr>
        <w:t>9. Tenant obligations</w:t>
      </w:r>
    </w:p>
    <w:p>
      <w:pPr>
        <w:pStyle w:val="ListNumber"/>
        <w:spacing w:after="40"/>
      </w:pPr>
      <w:r>
        <w:rPr>
          <w:rFonts w:ascii="Calibri" w:hAnsi="Calibri" w:cs="Calibri"/>
          <w:b w:val="0"/>
          <w:i w:val="0"/>
          <w:color w:val="262626"/>
          <w:sz w:val="20"/>
        </w:rPr>
        <w:t>Pay the rent on time and in the agreed form.</w:t>
      </w:r>
    </w:p>
    <w:p>
      <w:pPr>
        <w:pStyle w:val="ListNumber"/>
        <w:spacing w:after="40"/>
      </w:pPr>
      <w:r>
        <w:rPr>
          <w:rFonts w:ascii="Calibri" w:hAnsi="Calibri" w:cs="Calibri"/>
          <w:b w:val="0"/>
          <w:i w:val="0"/>
          <w:color w:val="262626"/>
          <w:sz w:val="20"/>
        </w:rPr>
        <w:t>Use the premises only for the authorised activity, keep it in good condition and clean.</w:t>
      </w:r>
    </w:p>
    <w:p>
      <w:pPr>
        <w:pStyle w:val="ListNumber"/>
        <w:spacing w:after="40"/>
      </w:pPr>
      <w:r>
        <w:rPr>
          <w:rFonts w:ascii="Calibri" w:hAnsi="Calibri" w:cs="Calibri"/>
          <w:b w:val="0"/>
          <w:i w:val="0"/>
          <w:color w:val="262626"/>
          <w:sz w:val="20"/>
        </w:rPr>
        <w:t>Pay utilities, building fees and the costs that correspond to the tenant on time.</w:t>
      </w:r>
    </w:p>
    <w:p>
      <w:pPr>
        <w:pStyle w:val="ListNumber"/>
        <w:spacing w:after="40"/>
      </w:pPr>
      <w:r>
        <w:rPr>
          <w:rFonts w:ascii="Calibri" w:hAnsi="Calibri" w:cs="Calibri"/>
          <w:b w:val="0"/>
          <w:i w:val="0"/>
          <w:color w:val="262626"/>
          <w:sz w:val="20"/>
        </w:rPr>
        <w:t>Keep its permits, licences and insurance for the activity up to date.</w:t>
      </w:r>
    </w:p>
    <w:p>
      <w:pPr>
        <w:pStyle w:val="ListNumber"/>
        <w:spacing w:after="40"/>
      </w:pPr>
      <w:r>
        <w:rPr>
          <w:rFonts w:ascii="Calibri" w:hAnsi="Calibri" w:cs="Calibri"/>
          <w:b w:val="0"/>
          <w:i w:val="0"/>
          <w:color w:val="262626"/>
          <w:sz w:val="20"/>
        </w:rPr>
        <w:t>Make no works, signage or changes to the shopfront without written consent.</w:t>
      </w:r>
    </w:p>
    <w:p>
      <w:pPr>
        <w:pStyle w:val="ListNumber"/>
        <w:spacing w:after="40"/>
      </w:pPr>
      <w:r>
        <w:rPr>
          <w:rFonts w:ascii="Calibri" w:hAnsi="Calibri" w:cs="Calibri"/>
          <w:b w:val="0"/>
          <w:i w:val="0"/>
          <w:color w:val="262626"/>
          <w:sz w:val="20"/>
        </w:rPr>
        <w:t>Keep to the opening hours, the building rules and the site safety rules.</w:t>
      </w:r>
    </w:p>
    <w:p>
      <w:pPr>
        <w:pStyle w:val="ListNumber"/>
        <w:spacing w:after="40"/>
      </w:pPr>
      <w:r>
        <w:rPr>
          <w:rFonts w:ascii="Calibri" w:hAnsi="Calibri" w:cs="Calibri"/>
          <w:b w:val="0"/>
          <w:i w:val="0"/>
          <w:color w:val="262626"/>
          <w:sz w:val="20"/>
        </w:rPr>
        <w:t>Return the premises when the agreement ends, removing its furniture and signage.</w:t>
      </w:r>
    </w:p>
    <w:p>
      <w:pPr>
        <w:spacing w:before="160" w:after="60"/>
        <w:pBdr>
          <w:bottom w:val="single" w:sz="4" w:space="4" w:color="A6A6A6"/>
        </w:pBdr>
      </w:pPr>
      <w:r>
        <w:rPr>
          <w:rFonts w:ascii="Calibri" w:hAnsi="Calibri" w:cs="Calibri"/>
          <w:b/>
          <w:i w:val="0"/>
          <w:color w:val="404040"/>
          <w:sz w:val="22"/>
        </w:rPr>
        <w:t>10. Utilities, fees and other costs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Utilities paid by the tenant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Building fees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Other costs and who pays them</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11. Fit-out, improvements and return of the premises</w:t>
      </w:r>
    </w:p>
    <w:p>
      <w:pPr>
        <w:jc w:val="both"/>
      </w:pPr>
      <w:r>
        <w:rPr>
          <w:rFonts w:ascii="Calibri" w:hAnsi="Calibri" w:cs="Calibri"/>
          <w:b w:val="0"/>
          <w:i w:val="0"/>
          <w:color w:val="262626"/>
          <w:sz w:val="21"/>
        </w:rPr>
        <w:t>The tenant receives the premises in the condition recorded in the handover record. Fit-out, signage, fixed furniture and minor works require the landlord's written consent; on termination the parties agree what is removed and what stays. Improvements that remain for the benefit of the premises are not paid for unless agreed in writing.</w:t>
      </w:r>
    </w:p>
    <w:p>
      <w:pPr>
        <w:spacing w:before="160" w:after="60"/>
        <w:pBdr>
          <w:bottom w:val="single" w:sz="4" w:space="4" w:color="A6A6A6"/>
        </w:pBdr>
      </w:pPr>
      <w:r>
        <w:rPr>
          <w:rFonts w:ascii="Calibri" w:hAnsi="Calibri" w:cs="Calibri"/>
          <w:b/>
          <w:i w:val="0"/>
          <w:color w:val="404040"/>
          <w:sz w:val="22"/>
        </w:rPr>
        <w:t>12. Assignment, subletting and change of activity</w:t>
      </w:r>
    </w:p>
    <w:p>
      <w:pPr>
        <w:jc w:val="both"/>
      </w:pPr>
      <w:r>
        <w:rPr>
          <w:rFonts w:ascii="Calibri" w:hAnsi="Calibri" w:cs="Calibri"/>
          <w:b w:val="0"/>
          <w:i w:val="0"/>
          <w:color w:val="262626"/>
          <w:sz w:val="21"/>
        </w:rPr>
        <w:t>The tenant may not assign the agreement, sublet the premises or change the activity without the landlord's written consent. The landlord will allow inspection visits announced with reasonable notice in advance.</w:t>
      </w:r>
    </w:p>
    <w:p>
      <w:pPr>
        <w:spacing w:before="160" w:after="60"/>
        <w:pBdr>
          <w:bottom w:val="single" w:sz="4" w:space="4" w:color="A6A6A6"/>
        </w:pBdr>
      </w:pPr>
      <w:r>
        <w:rPr>
          <w:rFonts w:ascii="Calibri" w:hAnsi="Calibri" w:cs="Calibri"/>
          <w:b/>
          <w:i w:val="0"/>
          <w:color w:val="404040"/>
          <w:sz w:val="22"/>
        </w:rPr>
        <w:t>13. Termination of the agreement</w:t>
      </w:r>
    </w:p>
    <w:p>
      <w:pPr>
        <w:jc w:val="both"/>
      </w:pPr>
      <w:r>
        <w:rPr>
          <w:rFonts w:ascii="Calibri" w:hAnsi="Calibri" w:cs="Calibri"/>
          <w:b w:val="0"/>
          <w:i w:val="0"/>
          <w:color w:val="262626"/>
          <w:sz w:val="21"/>
        </w:rPr>
        <w:t>The agreement ends when the term expires, by mutual agreement, for breach of the obligations agreed here, or for the grounds stated in the handover record and the attached documents.</w:t>
      </w:r>
    </w:p>
    <w:p>
      <w:pPr>
        <w:spacing w:before="160" w:after="60"/>
        <w:pBdr>
          <w:bottom w:val="single" w:sz="4" w:space="4" w:color="A6A6A6"/>
        </w:pBdr>
      </w:pPr>
      <w:r>
        <w:rPr>
          <w:rFonts w:ascii="Calibri" w:hAnsi="Calibri" w:cs="Calibri"/>
          <w:b/>
          <w:i w:val="0"/>
          <w:color w:val="404040"/>
          <w:sz w:val="22"/>
        </w:rPr>
        <w:t>14. Disputes and address for notices</w:t>
      </w:r>
    </w:p>
    <w:p>
      <w:pPr>
        <w:jc w:val="both"/>
      </w:pPr>
      <w:r>
        <w:rPr>
          <w:rFonts w:ascii="Calibri" w:hAnsi="Calibri" w:cs="Calibri"/>
          <w:b w:val="0"/>
          <w:i w:val="0"/>
          <w:color w:val="262626"/>
          <w:sz w:val="21"/>
        </w:rPr>
        <w:t>The parties will try to settle any dispute directly and, if they cannot, they will use the dispute resolution means they have agreed in writing. For all purposes, they set the city in the heading as their address.</w:t>
      </w:r>
    </w:p>
    <w:p>
      <w:pPr>
        <w:spacing w:before="160" w:after="60"/>
        <w:pBdr>
          <w:bottom w:val="single" w:sz="4" w:space="4" w:color="A6A6A6"/>
        </w:pBdr>
      </w:pPr>
      <w:r>
        <w:rPr>
          <w:rFonts w:ascii="Calibri" w:hAnsi="Calibri" w:cs="Calibri"/>
          <w:b/>
          <w:i w:val="0"/>
          <w:color w:val="404040"/>
          <w:sz w:val="22"/>
        </w:rPr>
        <w:t>15. Final statements and signatures</w:t>
      </w:r>
    </w:p>
    <w:p>
      <w:pPr>
        <w:jc w:val="both"/>
      </w:pPr>
      <w:r>
        <w:rPr>
          <w:rFonts w:ascii="Calibri" w:hAnsi="Calibri" w:cs="Calibri"/>
          <w:b w:val="0"/>
          <w:i w:val="0"/>
          <w:color w:val="262626"/>
          <w:sz w:val="21"/>
        </w:rPr>
        <w:t>The parties state that they have read this document, understand its scope and sign it freely and voluntarily. Nothing not written here binds them.</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LANDLORD</w:t>
            </w:r>
          </w:p>
          <w:p>
            <w:pPr>
              <w:spacing w:after="20"/>
            </w:pPr>
            <w:r>
              <w:rPr>
                <w:rFonts w:ascii="Calibri" w:hAnsi="Calibri" w:cs="Calibri"/>
                <w:b w:val="0"/>
                <w:i/>
                <w:color w:val="262626"/>
                <w:sz w:val="18"/>
              </w:rPr>
              <w:t>Full name, ID or tax number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TENANT</w:t>
            </w:r>
          </w:p>
          <w:p>
            <w:pPr>
              <w:spacing w:after="20"/>
            </w:pPr>
            <w:r>
              <w:rPr>
                <w:rFonts w:ascii="Calibri" w:hAnsi="Calibri" w:cs="Calibri"/>
                <w:b w:val="0"/>
                <w:i/>
                <w:color w:val="262626"/>
                <w:sz w:val="18"/>
              </w:rPr>
              <w:t>Full name, ID or tax number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WITNESS</w:t>
            </w:r>
          </w:p>
          <w:p>
            <w:pPr>
              <w:spacing w:after="20"/>
            </w:pPr>
            <w:r>
              <w:rPr>
                <w:rFonts w:ascii="Calibri" w:hAnsi="Calibri" w:cs="Calibri"/>
                <w:b w:val="0"/>
                <w:i/>
                <w:color w:val="262626"/>
                <w:sz w:val="18"/>
              </w:rPr>
              <w:t>Full name, ID and 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is a general-purpose internal template. It is not legal advice: have your advisor or accountant review it and adapt it to the rules that apply to you before you use it.</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Commercial lease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local comercial</dc:title>
  <dc:subject>Contrato de arrendamiento de local comercial</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