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VEHICLE SALE AND PURCHASE AGREEMENT</w:t>
            </w:r>
          </w:p>
        </w:tc>
      </w:tr>
    </w:tbl>
    <w:p>
      <w:pPr>
        <w:spacing w:after="40"/>
      </w:pPr>
    </w:p>
    <w:p>
      <w:r>
        <w:rPr>
          <w:rFonts w:ascii="Calibri" w:hAnsi="Calibri" w:cs="Calibri"/>
          <w:b w:val="0"/>
          <w:i/>
          <w:color w:val="595959"/>
          <w:sz w:val="19"/>
        </w:rPr>
        <w:t>Identifies the vehicle, fixes the price, the condition it is delivered in and the transfer procedure</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[CV-___]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Parties</w:t>
      </w:r>
    </w:p>
    <w:p>
      <w:r>
        <w:rPr>
          <w:rFonts w:ascii="Calibri" w:hAnsi="Calibri" w:cs="Calibri"/>
          <w:b w:val="0"/>
          <w:i w:val="0"/>
          <w:color w:val="262626"/>
          <w:sz w:val="21"/>
        </w:rPr>
        <w:t>THE SELLER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r>
        <w:rPr>
          <w:rFonts w:ascii="Calibri" w:hAnsi="Calibri" w:cs="Calibri"/>
          <w:b w:val="0"/>
          <w:i w:val="0"/>
          <w:color w:val="262626"/>
          <w:sz w:val="21"/>
        </w:rPr>
        <w:t>THE BUYER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1. Vehicle identification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Make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Model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Model year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Registration plate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Chassis number or VIN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Engine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Colour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Mileage on delivery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Type of use (private / commercial)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2. Condition of the vehicle and accessories</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969"/>
            <w:shd w:val="clear" w:color="auto" w:fill="595959"/>
            <w:tcMar>
              <w:top w:w="40" w:type="dxa"/>
              <w:left w:w="80" w:type="dxa"/>
              <w:bottom w:w="40" w:type="dxa"/>
              <w:right w:w="80" w:type="dxa"/>
            </w:tcMar>
          </w:tcPr>
          <w:p>
            <w:pPr>
              <w:spacing w:after="0"/>
            </w:pPr>
            <w:r>
              <w:rPr>
                <w:rFonts w:ascii="Calibri" w:hAnsi="Calibri" w:cs="Calibri"/>
                <w:b/>
                <w:i w:val="0"/>
                <w:color w:val="FFFFFF"/>
                <w:sz w:val="18"/>
              </w:rPr>
              <w:t>Item</w:t>
            </w:r>
          </w:p>
        </w:tc>
        <w:tc>
          <w:tcPr>
            <w:tcW w:type="dxa" w:w="2608"/>
            <w:shd w:val="clear" w:color="auto" w:fill="595959"/>
            <w:tcMar>
              <w:top w:w="40" w:type="dxa"/>
              <w:left w:w="80" w:type="dxa"/>
              <w:bottom w:w="40" w:type="dxa"/>
              <w:right w:w="80" w:type="dxa"/>
            </w:tcMar>
          </w:tcPr>
          <w:p>
            <w:pPr>
              <w:spacing w:after="0"/>
            </w:pPr>
            <w:r>
              <w:rPr>
                <w:rFonts w:ascii="Calibri" w:hAnsi="Calibri" w:cs="Calibri"/>
                <w:b/>
                <w:i w:val="0"/>
                <w:color w:val="FFFFFF"/>
                <w:sz w:val="18"/>
              </w:rPr>
              <w:t>Condition (good / fair / faulty)</w:t>
            </w:r>
          </w:p>
        </w:tc>
        <w:tc>
          <w:tcPr>
            <w:tcW w:type="dxa" w:w="3061"/>
            <w:shd w:val="clear" w:color="auto" w:fill="595959"/>
            <w:tcMar>
              <w:top w:w="40" w:type="dxa"/>
              <w:left w:w="80" w:type="dxa"/>
              <w:bottom w:w="40" w:type="dxa"/>
              <w:right w:w="80" w:type="dxa"/>
            </w:tcMar>
          </w:tcPr>
          <w:p>
            <w:pPr>
              <w:spacing w:after="0"/>
            </w:pPr>
            <w:r>
              <w:rPr>
                <w:rFonts w:ascii="Calibri" w:hAnsi="Calibri" w:cs="Calibri"/>
                <w:b/>
                <w:i w:val="0"/>
                <w:color w:val="FFFFFF"/>
                <w:sz w:val="18"/>
              </w:rPr>
              <w:t>Notes</w:t>
            </w:r>
          </w:p>
        </w:tc>
      </w:tr>
      <w:tr>
        <w:tc>
          <w:tcPr>
            <w:tcW w:type="dxa" w:w="3969"/>
            <w:tcMar>
              <w:top w:w="40" w:type="dxa"/>
              <w:left w:w="80" w:type="dxa"/>
              <w:bottom w:w="40" w:type="dxa"/>
              <w:right w:w="80" w:type="dxa"/>
            </w:tcMar>
          </w:tcPr>
          <w:p>
            <w:pPr>
              <w:spacing w:after="0"/>
            </w:pPr>
            <w:r>
              <w:rPr>
                <w:rFonts w:ascii="Calibri" w:hAnsi="Calibri" w:cs="Calibri"/>
                <w:b w:val="0"/>
                <w:i w:val="0"/>
                <w:color w:val="262626"/>
                <w:sz w:val="18"/>
              </w:rPr>
              <w:t>Bodywork, paint and glass</w:t>
            </w:r>
          </w:p>
        </w:tc>
        <w:tc>
          <w:tcPr>
            <w:tcW w:type="dxa" w:w="2608"/>
            <w:tcMar>
              <w:top w:w="40" w:type="dxa"/>
              <w:left w:w="80" w:type="dxa"/>
              <w:bottom w:w="40" w:type="dxa"/>
              <w:right w:w="80" w:type="dxa"/>
            </w:tcMar>
          </w:tcPr>
          <w:p>
            <w:pPr>
              <w:spacing w:after="0"/>
            </w:pPr>
            <w:r>
              <w:rPr>
                <w:rFonts w:ascii="Calibri" w:hAnsi="Calibri" w:cs="Calibri"/>
                <w:b w:val="0"/>
                <w:i w:val="0"/>
                <w:color w:val="262626"/>
                <w:sz w:val="18"/>
              </w:rPr>
            </w:r>
          </w:p>
        </w:tc>
        <w:tc>
          <w:tcPr>
            <w:tcW w:type="dxa" w:w="3061"/>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969"/>
            <w:tcMar>
              <w:top w:w="40" w:type="dxa"/>
              <w:left w:w="80" w:type="dxa"/>
              <w:bottom w:w="40" w:type="dxa"/>
              <w:right w:w="80" w:type="dxa"/>
            </w:tcMar>
          </w:tcPr>
          <w:p>
            <w:pPr>
              <w:spacing w:after="0"/>
            </w:pPr>
            <w:r>
              <w:rPr>
                <w:rFonts w:ascii="Calibri" w:hAnsi="Calibri" w:cs="Calibri"/>
                <w:b w:val="0"/>
                <w:i w:val="0"/>
                <w:color w:val="262626"/>
                <w:sz w:val="18"/>
              </w:rPr>
              <w:t>Tyres and wheels (including the spare)</w:t>
            </w:r>
          </w:p>
        </w:tc>
        <w:tc>
          <w:tcPr>
            <w:tcW w:type="dxa" w:w="2608"/>
            <w:tcMar>
              <w:top w:w="40" w:type="dxa"/>
              <w:left w:w="80" w:type="dxa"/>
              <w:bottom w:w="40" w:type="dxa"/>
              <w:right w:w="80" w:type="dxa"/>
            </w:tcMar>
          </w:tcPr>
          <w:p>
            <w:pPr>
              <w:spacing w:after="0"/>
            </w:pPr>
            <w:r>
              <w:rPr>
                <w:rFonts w:ascii="Calibri" w:hAnsi="Calibri" w:cs="Calibri"/>
                <w:b w:val="0"/>
                <w:i w:val="0"/>
                <w:color w:val="262626"/>
                <w:sz w:val="18"/>
              </w:rPr>
            </w:r>
          </w:p>
        </w:tc>
        <w:tc>
          <w:tcPr>
            <w:tcW w:type="dxa" w:w="3061"/>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969"/>
            <w:tcMar>
              <w:top w:w="40" w:type="dxa"/>
              <w:left w:w="80" w:type="dxa"/>
              <w:bottom w:w="40" w:type="dxa"/>
              <w:right w:w="80" w:type="dxa"/>
            </w:tcMar>
          </w:tcPr>
          <w:p>
            <w:pPr>
              <w:spacing w:after="0"/>
            </w:pPr>
            <w:r>
              <w:rPr>
                <w:rFonts w:ascii="Calibri" w:hAnsi="Calibri" w:cs="Calibri"/>
                <w:b w:val="0"/>
                <w:i w:val="0"/>
                <w:color w:val="262626"/>
                <w:sz w:val="18"/>
              </w:rPr>
              <w:t>Lights, indicators and signals</w:t>
            </w:r>
          </w:p>
        </w:tc>
        <w:tc>
          <w:tcPr>
            <w:tcW w:type="dxa" w:w="2608"/>
            <w:tcMar>
              <w:top w:w="40" w:type="dxa"/>
              <w:left w:w="80" w:type="dxa"/>
              <w:bottom w:w="40" w:type="dxa"/>
              <w:right w:w="80" w:type="dxa"/>
            </w:tcMar>
          </w:tcPr>
          <w:p>
            <w:pPr>
              <w:spacing w:after="0"/>
            </w:pPr>
            <w:r>
              <w:rPr>
                <w:rFonts w:ascii="Calibri" w:hAnsi="Calibri" w:cs="Calibri"/>
                <w:b w:val="0"/>
                <w:i w:val="0"/>
                <w:color w:val="262626"/>
                <w:sz w:val="18"/>
              </w:rPr>
            </w:r>
          </w:p>
        </w:tc>
        <w:tc>
          <w:tcPr>
            <w:tcW w:type="dxa" w:w="3061"/>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969"/>
            <w:tcMar>
              <w:top w:w="40" w:type="dxa"/>
              <w:left w:w="80" w:type="dxa"/>
              <w:bottom w:w="40" w:type="dxa"/>
              <w:right w:w="80" w:type="dxa"/>
            </w:tcMar>
          </w:tcPr>
          <w:p>
            <w:pPr>
              <w:spacing w:after="0"/>
            </w:pPr>
            <w:r>
              <w:rPr>
                <w:rFonts w:ascii="Calibri" w:hAnsi="Calibri" w:cs="Calibri"/>
                <w:b w:val="0"/>
                <w:i w:val="0"/>
                <w:color w:val="262626"/>
                <w:sz w:val="18"/>
              </w:rPr>
              <w:t>Engine, brakes and suspension</w:t>
            </w:r>
          </w:p>
        </w:tc>
        <w:tc>
          <w:tcPr>
            <w:tcW w:type="dxa" w:w="2608"/>
            <w:tcMar>
              <w:top w:w="40" w:type="dxa"/>
              <w:left w:w="80" w:type="dxa"/>
              <w:bottom w:w="40" w:type="dxa"/>
              <w:right w:w="80" w:type="dxa"/>
            </w:tcMar>
          </w:tcPr>
          <w:p>
            <w:pPr>
              <w:spacing w:after="0"/>
            </w:pPr>
            <w:r>
              <w:rPr>
                <w:rFonts w:ascii="Calibri" w:hAnsi="Calibri" w:cs="Calibri"/>
                <w:b w:val="0"/>
                <w:i w:val="0"/>
                <w:color w:val="262626"/>
                <w:sz w:val="18"/>
              </w:rPr>
            </w:r>
          </w:p>
        </w:tc>
        <w:tc>
          <w:tcPr>
            <w:tcW w:type="dxa" w:w="3061"/>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969"/>
            <w:tcMar>
              <w:top w:w="40" w:type="dxa"/>
              <w:left w:w="80" w:type="dxa"/>
              <w:bottom w:w="40" w:type="dxa"/>
              <w:right w:w="80" w:type="dxa"/>
            </w:tcMar>
          </w:tcPr>
          <w:p>
            <w:pPr>
              <w:spacing w:after="0"/>
            </w:pPr>
            <w:r>
              <w:rPr>
                <w:rFonts w:ascii="Calibri" w:hAnsi="Calibri" w:cs="Calibri"/>
                <w:b w:val="0"/>
                <w:i w:val="0"/>
                <w:color w:val="262626"/>
                <w:sz w:val="18"/>
              </w:rPr>
              <w:t>Interior, upholstery and dashboard</w:t>
            </w:r>
          </w:p>
        </w:tc>
        <w:tc>
          <w:tcPr>
            <w:tcW w:type="dxa" w:w="2608"/>
            <w:tcMar>
              <w:top w:w="40" w:type="dxa"/>
              <w:left w:w="80" w:type="dxa"/>
              <w:bottom w:w="40" w:type="dxa"/>
              <w:right w:w="80" w:type="dxa"/>
            </w:tcMar>
          </w:tcPr>
          <w:p>
            <w:pPr>
              <w:spacing w:after="0"/>
            </w:pPr>
            <w:r>
              <w:rPr>
                <w:rFonts w:ascii="Calibri" w:hAnsi="Calibri" w:cs="Calibri"/>
                <w:b w:val="0"/>
                <w:i w:val="0"/>
                <w:color w:val="262626"/>
                <w:sz w:val="18"/>
              </w:rPr>
            </w:r>
          </w:p>
        </w:tc>
        <w:tc>
          <w:tcPr>
            <w:tcW w:type="dxa" w:w="3061"/>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969"/>
            <w:tcMar>
              <w:top w:w="40" w:type="dxa"/>
              <w:left w:w="80" w:type="dxa"/>
              <w:bottom w:w="40" w:type="dxa"/>
              <w:right w:w="80" w:type="dxa"/>
            </w:tcMar>
          </w:tcPr>
          <w:p>
            <w:pPr>
              <w:spacing w:after="0"/>
            </w:pPr>
            <w:r>
              <w:rPr>
                <w:rFonts w:ascii="Calibri" w:hAnsi="Calibri" w:cs="Calibri"/>
                <w:b w:val="0"/>
                <w:i w:val="0"/>
                <w:color w:val="262626"/>
                <w:sz w:val="18"/>
              </w:rPr>
              <w:t>Documents, keys and accessories</w:t>
            </w:r>
          </w:p>
        </w:tc>
        <w:tc>
          <w:tcPr>
            <w:tcW w:type="dxa" w:w="2608"/>
            <w:tcMar>
              <w:top w:w="40" w:type="dxa"/>
              <w:left w:w="80" w:type="dxa"/>
              <w:bottom w:w="40" w:type="dxa"/>
              <w:right w:w="80" w:type="dxa"/>
            </w:tcMar>
          </w:tcPr>
          <w:p>
            <w:pPr>
              <w:spacing w:after="0"/>
            </w:pPr>
            <w:r>
              <w:rPr>
                <w:rFonts w:ascii="Calibri" w:hAnsi="Calibri" w:cs="Calibri"/>
                <w:b w:val="0"/>
                <w:i w:val="0"/>
                <w:color w:val="262626"/>
                <w:sz w:val="18"/>
              </w:rPr>
            </w:r>
          </w:p>
        </w:tc>
        <w:tc>
          <w:tcPr>
            <w:tcW w:type="dxa" w:w="3061"/>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3. Price and payment</w:t>
      </w:r>
    </w:p>
    <w:tbl>
      <w:tblPr>
        <w:tblStyle w:val="TableGrid"/>
        <w:tblW w:type="auto" w:w="0"/>
        <w:tblLook w:firstColumn="1" w:firstRow="1" w:lastColumn="0" w:lastRow="0" w:noHBand="0" w:noVBand="1" w:val="04A0"/>
      </w:tblPr>
      <w:tblGrid>
        <w:gridCol w:w="1928"/>
        <w:gridCol w:w="1928"/>
        <w:gridCol w:w="1928"/>
        <w:gridCol w:w="1928"/>
        <w:gridCol w:w="1928"/>
      </w:tblGrid>
      <w:tr>
        <w:trPr>
          <w:tblHeader w:val="true"/>
        </w:trPr>
        <w:tc>
          <w:tcPr>
            <w:tcW w:type="dxa" w:w="680"/>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3061"/>
            <w:shd w:val="clear" w:color="auto" w:fill="595959"/>
            <w:tcMar>
              <w:top w:w="40" w:type="dxa"/>
              <w:left w:w="80" w:type="dxa"/>
              <w:bottom w:w="40" w:type="dxa"/>
              <w:right w:w="80" w:type="dxa"/>
            </w:tcMar>
          </w:tcPr>
          <w:p>
            <w:pPr>
              <w:spacing w:after="0"/>
            </w:pPr>
            <w:r>
              <w:rPr>
                <w:rFonts w:ascii="Calibri" w:hAnsi="Calibri" w:cs="Calibri"/>
                <w:b/>
                <w:i w:val="0"/>
                <w:color w:val="FFFFFF"/>
                <w:sz w:val="18"/>
              </w:rPr>
              <w:t>Item</w:t>
            </w:r>
          </w:p>
        </w:tc>
        <w:tc>
          <w:tcPr>
            <w:tcW w:type="dxa" w:w="1701"/>
            <w:shd w:val="clear" w:color="auto" w:fill="595959"/>
            <w:tcMar>
              <w:top w:w="40" w:type="dxa"/>
              <w:left w:w="80" w:type="dxa"/>
              <w:bottom w:w="40" w:type="dxa"/>
              <w:right w:w="80" w:type="dxa"/>
            </w:tcMar>
          </w:tcPr>
          <w:p>
            <w:pPr>
              <w:spacing w:after="0"/>
            </w:pPr>
            <w:r>
              <w:rPr>
                <w:rFonts w:ascii="Calibri" w:hAnsi="Calibri" w:cs="Calibri"/>
                <w:b/>
                <w:i w:val="0"/>
                <w:color w:val="FFFFFF"/>
                <w:sz w:val="18"/>
              </w:rPr>
              <w:t>Amount</w:t>
            </w:r>
          </w:p>
        </w:tc>
        <w:tc>
          <w:tcPr>
            <w:tcW w:type="dxa" w:w="2381"/>
            <w:shd w:val="clear" w:color="auto" w:fill="595959"/>
            <w:tcMar>
              <w:top w:w="40" w:type="dxa"/>
              <w:left w:w="80" w:type="dxa"/>
              <w:bottom w:w="40" w:type="dxa"/>
              <w:right w:w="80" w:type="dxa"/>
            </w:tcMar>
          </w:tcPr>
          <w:p>
            <w:pPr>
              <w:spacing w:after="0"/>
            </w:pPr>
            <w:r>
              <w:rPr>
                <w:rFonts w:ascii="Calibri" w:hAnsi="Calibri" w:cs="Calibri"/>
                <w:b/>
                <w:i w:val="0"/>
                <w:color w:val="FFFFFF"/>
                <w:sz w:val="18"/>
              </w:rPr>
              <w:t>Payment method</w:t>
            </w:r>
          </w:p>
        </w:tc>
        <w:tc>
          <w:tcPr>
            <w:tcW w:type="dxa" w:w="1814"/>
            <w:shd w:val="clear" w:color="auto" w:fill="595959"/>
            <w:tcMar>
              <w:top w:w="40" w:type="dxa"/>
              <w:left w:w="80" w:type="dxa"/>
              <w:bottom w:w="40" w:type="dxa"/>
              <w:right w:w="80" w:type="dxa"/>
            </w:tcMar>
          </w:tcPr>
          <w:p>
            <w:pPr>
              <w:spacing w:after="0"/>
            </w:pPr>
            <w:r>
              <w:rPr>
                <w:rFonts w:ascii="Calibri" w:hAnsi="Calibri" w:cs="Calibri"/>
                <w:b/>
                <w:i w:val="0"/>
                <w:color w:val="FFFFFF"/>
                <w:sz w:val="18"/>
              </w:rPr>
              <w:t>Date</w:t>
            </w:r>
          </w:p>
        </w:tc>
      </w:tr>
      <w:tr>
        <w:tc>
          <w:tcPr>
            <w:tcW w:type="dxa" w:w="680"/>
            <w:tcMar>
              <w:top w:w="40" w:type="dxa"/>
              <w:left w:w="80" w:type="dxa"/>
              <w:bottom w:w="40" w:type="dxa"/>
              <w:right w:w="80" w:type="dxa"/>
            </w:tcMar>
          </w:tcPr>
          <w:p>
            <w:pPr>
              <w:spacing w:after="0"/>
            </w:pPr>
            <w:r>
              <w:rPr>
                <w:rFonts w:ascii="Calibri" w:hAnsi="Calibri" w:cs="Calibri"/>
                <w:b w:val="0"/>
                <w:i w:val="0"/>
                <w:color w:val="262626"/>
                <w:sz w:val="18"/>
              </w:rPr>
              <w:t>1</w:t>
            </w:r>
          </w:p>
        </w:tc>
        <w:tc>
          <w:tcPr>
            <w:tcW w:type="dxa" w:w="3061"/>
            <w:tcMar>
              <w:top w:w="40" w:type="dxa"/>
              <w:left w:w="80" w:type="dxa"/>
              <w:bottom w:w="40" w:type="dxa"/>
              <w:right w:w="80" w:type="dxa"/>
            </w:tcMar>
          </w:tcPr>
          <w:p>
            <w:pPr>
              <w:spacing w:after="0"/>
            </w:pPr>
            <w:r>
              <w:rPr>
                <w:rFonts w:ascii="Calibri" w:hAnsi="Calibri" w:cs="Calibri"/>
                <w:b w:val="0"/>
                <w:i w:val="0"/>
                <w:color w:val="262626"/>
                <w:sz w:val="18"/>
              </w:rPr>
              <w:t>[Deposit]</w:t>
            </w:r>
          </w:p>
        </w:tc>
        <w:tc>
          <w:tcPr>
            <w:tcW w:type="dxa" w:w="1701"/>
            <w:tcMar>
              <w:top w:w="40" w:type="dxa"/>
              <w:left w:w="80" w:type="dxa"/>
              <w:bottom w:w="40" w:type="dxa"/>
              <w:right w:w="80" w:type="dxa"/>
            </w:tcMar>
          </w:tcPr>
          <w:p>
            <w:pPr>
              <w:spacing w:after="0"/>
            </w:pPr>
            <w:r>
              <w:rPr>
                <w:rFonts w:ascii="Calibri" w:hAnsi="Calibri" w:cs="Calibri"/>
                <w:b w:val="0"/>
                <w:i w:val="0"/>
                <w:color w:val="262626"/>
                <w:sz w:val="18"/>
              </w:rPr>
            </w:r>
          </w:p>
        </w:tc>
        <w:tc>
          <w:tcPr>
            <w:tcW w:type="dxa" w:w="2381"/>
            <w:tcMar>
              <w:top w:w="40" w:type="dxa"/>
              <w:left w:w="80" w:type="dxa"/>
              <w:bottom w:w="40" w:type="dxa"/>
              <w:right w:w="80" w:type="dxa"/>
            </w:tcMar>
          </w:tcPr>
          <w:p>
            <w:pPr>
              <w:spacing w:after="0"/>
            </w:pPr>
            <w:r>
              <w:rPr>
                <w:rFonts w:ascii="Calibri" w:hAnsi="Calibri" w:cs="Calibri"/>
                <w:b w:val="0"/>
                <w:i w:val="0"/>
                <w:color w:val="262626"/>
                <w:sz w:val="18"/>
              </w:rPr>
            </w:r>
          </w:p>
        </w:tc>
        <w:tc>
          <w:tcPr>
            <w:tcW w:type="dxa" w:w="1814"/>
            <w:tcMar>
              <w:top w:w="40" w:type="dxa"/>
              <w:left w:w="80" w:type="dxa"/>
              <w:bottom w:w="40" w:type="dxa"/>
              <w:right w:w="80" w:type="dxa"/>
            </w:tcMar>
          </w:tcPr>
          <w:p>
            <w:pPr>
              <w:spacing w:after="0"/>
            </w:pPr>
            <w:r>
              <w:rPr>
                <w:rFonts w:ascii="Calibri" w:hAnsi="Calibri" w:cs="Calibri"/>
                <w:b w:val="0"/>
                <w:i w:val="0"/>
                <w:color w:val="262626"/>
                <w:sz w:val="18"/>
              </w:rPr>
              <w:t>[DD/MM/YYYY]</w:t>
            </w:r>
          </w:p>
        </w:tc>
      </w:tr>
      <w:tr>
        <w:tc>
          <w:tcPr>
            <w:tcW w:type="dxa" w:w="680"/>
            <w:tcMar>
              <w:top w:w="40" w:type="dxa"/>
              <w:left w:w="80" w:type="dxa"/>
              <w:bottom w:w="40" w:type="dxa"/>
              <w:right w:w="80" w:type="dxa"/>
            </w:tcMar>
          </w:tcPr>
          <w:p>
            <w:pPr>
              <w:spacing w:after="0"/>
            </w:pPr>
            <w:r>
              <w:rPr>
                <w:rFonts w:ascii="Calibri" w:hAnsi="Calibri" w:cs="Calibri"/>
                <w:b w:val="0"/>
                <w:i w:val="0"/>
                <w:color w:val="262626"/>
                <w:sz w:val="18"/>
              </w:rPr>
              <w:t>2</w:t>
            </w:r>
          </w:p>
        </w:tc>
        <w:tc>
          <w:tcPr>
            <w:tcW w:type="dxa" w:w="3061"/>
            <w:tcMar>
              <w:top w:w="40" w:type="dxa"/>
              <w:left w:w="80" w:type="dxa"/>
              <w:bottom w:w="40" w:type="dxa"/>
              <w:right w:w="80" w:type="dxa"/>
            </w:tcMar>
          </w:tcPr>
          <w:p>
            <w:pPr>
              <w:spacing w:after="0"/>
            </w:pPr>
            <w:r>
              <w:rPr>
                <w:rFonts w:ascii="Calibri" w:hAnsi="Calibri" w:cs="Calibri"/>
                <w:b w:val="0"/>
                <w:i w:val="0"/>
                <w:color w:val="262626"/>
                <w:sz w:val="18"/>
              </w:rPr>
              <w:t>[Balance on handover of the vehicle]</w:t>
            </w:r>
          </w:p>
        </w:tc>
        <w:tc>
          <w:tcPr>
            <w:tcW w:type="dxa" w:w="1701"/>
            <w:tcMar>
              <w:top w:w="40" w:type="dxa"/>
              <w:left w:w="80" w:type="dxa"/>
              <w:bottom w:w="40" w:type="dxa"/>
              <w:right w:w="80" w:type="dxa"/>
            </w:tcMar>
          </w:tcPr>
          <w:p>
            <w:pPr>
              <w:spacing w:after="0"/>
            </w:pPr>
            <w:r>
              <w:rPr>
                <w:rFonts w:ascii="Calibri" w:hAnsi="Calibri" w:cs="Calibri"/>
                <w:b w:val="0"/>
                <w:i w:val="0"/>
                <w:color w:val="262626"/>
                <w:sz w:val="18"/>
              </w:rPr>
            </w:r>
          </w:p>
        </w:tc>
        <w:tc>
          <w:tcPr>
            <w:tcW w:type="dxa" w:w="2381"/>
            <w:tcMar>
              <w:top w:w="40" w:type="dxa"/>
              <w:left w:w="80" w:type="dxa"/>
              <w:bottom w:w="40" w:type="dxa"/>
              <w:right w:w="80" w:type="dxa"/>
            </w:tcMar>
          </w:tcPr>
          <w:p>
            <w:pPr>
              <w:spacing w:after="0"/>
            </w:pPr>
            <w:r>
              <w:rPr>
                <w:rFonts w:ascii="Calibri" w:hAnsi="Calibri" w:cs="Calibri"/>
                <w:b w:val="0"/>
                <w:i w:val="0"/>
                <w:color w:val="262626"/>
                <w:sz w:val="18"/>
              </w:rPr>
            </w:r>
          </w:p>
        </w:tc>
        <w:tc>
          <w:tcPr>
            <w:tcW w:type="dxa" w:w="1814"/>
            <w:tcMar>
              <w:top w:w="40" w:type="dxa"/>
              <w:left w:w="80" w:type="dxa"/>
              <w:bottom w:w="40" w:type="dxa"/>
              <w:right w:w="80" w:type="dxa"/>
            </w:tcMar>
          </w:tcPr>
          <w:p>
            <w:pPr>
              <w:spacing w:after="0"/>
            </w:pPr>
            <w:r>
              <w:rPr>
                <w:rFonts w:ascii="Calibri" w:hAnsi="Calibri" w:cs="Calibri"/>
                <w:b w:val="0"/>
                <w:i w:val="0"/>
                <w:color w:val="262626"/>
                <w:sz w:val="18"/>
              </w:rPr>
              <w:t>[DD/MM/YYYY]</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Agreed total price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Currency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Handover of the vehicle and documents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Date and place of delivery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jc w:val="both"/>
      </w:pPr>
      <w:r>
        <w:rPr>
          <w:rFonts w:ascii="Calibri" w:hAnsi="Calibri" w:cs="Calibri"/>
          <w:b w:val="0"/>
          <w:i w:val="0"/>
          <w:color w:val="262626"/>
          <w:sz w:val="21"/>
        </w:rPr>
        <w:t>[List what is handed over with the vehicle: ownership document, valid insurance, roadworthiness certificate where applicable, keys, manual, tools and accessories. Note also what is NOT handed over.]</w:t>
      </w:r>
    </w:p>
    <w:p>
      <w:pPr>
        <w:spacing w:before="160" w:after="60"/>
        <w:pBdr>
          <w:bottom w:val="single" w:sz="4" w:space="4" w:color="A6A6A6"/>
        </w:pBdr>
      </w:pPr>
      <w:r>
        <w:rPr>
          <w:rFonts w:ascii="Calibri" w:hAnsi="Calibri" w:cs="Calibri"/>
          <w:b/>
          <w:i w:val="0"/>
          <w:color w:val="404040"/>
          <w:sz w:val="22"/>
        </w:rPr>
        <w:t>5. Seller's statements</w:t>
      </w:r>
    </w:p>
    <w:p>
      <w:pPr>
        <w:jc w:val="both"/>
      </w:pPr>
      <w:r>
        <w:rPr>
          <w:rFonts w:ascii="Calibri" w:hAnsi="Calibri" w:cs="Calibri"/>
          <w:b w:val="0"/>
          <w:i w:val="0"/>
          <w:color w:val="262626"/>
          <w:sz w:val="21"/>
        </w:rPr>
        <w:t>The seller states that the vehicle is their property, that it is delivered free of charges, liens and seizures, that there are no outstanding fines or offences and that the mileage stated is the real one.</w:t>
      </w:r>
    </w:p>
    <w:p>
      <w:pPr>
        <w:spacing w:before="160" w:after="60"/>
        <w:pBdr>
          <w:bottom w:val="single" w:sz="4" w:space="4" w:color="A6A6A6"/>
        </w:pBdr>
      </w:pPr>
      <w:r>
        <w:rPr>
          <w:rFonts w:ascii="Calibri" w:hAnsi="Calibri" w:cs="Calibri"/>
          <w:b/>
          <w:i w:val="0"/>
          <w:color w:val="404040"/>
          <w:sz w:val="22"/>
        </w:rPr>
        <w:t>6. Transfer procedure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Who carries out the transfer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Deadline for doing it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Who bears the cost of the transfer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jc w:val="both"/>
      </w:pPr>
      <w:r>
        <w:rPr>
          <w:rFonts w:ascii="Calibri" w:hAnsi="Calibri" w:cs="Calibri"/>
          <w:b w:val="0"/>
          <w:i w:val="0"/>
          <w:color w:val="262626"/>
          <w:sz w:val="21"/>
        </w:rPr>
        <w:t>[State how the transfer is shared between the parties and which documents each one provides. Until the transfer is completed, who answers for the vehicle's obligations.]</w:t>
      </w:r>
    </w:p>
    <w:p>
      <w:pPr>
        <w:spacing w:before="160" w:after="60"/>
        <w:pBdr>
          <w:bottom w:val="single" w:sz="4" w:space="4" w:color="A6A6A6"/>
        </w:pBdr>
      </w:pPr>
      <w:r>
        <w:rPr>
          <w:rFonts w:ascii="Calibri" w:hAnsi="Calibri" w:cs="Calibri"/>
          <w:b/>
          <w:i w:val="0"/>
          <w:color w:val="404040"/>
          <w:sz w:val="22"/>
        </w:rPr>
        <w:t>7. Buyer's obligations</w:t>
      </w:r>
    </w:p>
    <w:p>
      <w:pPr>
        <w:jc w:val="both"/>
      </w:pPr>
      <w:r>
        <w:rPr>
          <w:rFonts w:ascii="Calibri" w:hAnsi="Calibri" w:cs="Calibri"/>
          <w:b w:val="0"/>
          <w:i w:val="0"/>
          <w:color w:val="262626"/>
          <w:sz w:val="21"/>
        </w:rPr>
        <w:t>[State what the buyer takes on: payment, the transfer, use of the vehicle from delivery and compliance with traffic rules.]</w:t>
      </w:r>
    </w:p>
    <w:p>
      <w:pPr>
        <w:spacing w:before="160" w:after="60"/>
        <w:pBdr>
          <w:bottom w:val="single" w:sz="4" w:space="4" w:color="A6A6A6"/>
        </w:pBdr>
      </w:pPr>
      <w:r>
        <w:rPr>
          <w:rFonts w:ascii="Calibri" w:hAnsi="Calibri" w:cs="Calibri"/>
          <w:b/>
          <w:i w:val="0"/>
          <w:color w:val="404040"/>
          <w:sz w:val="22"/>
        </w:rPr>
        <w:t>8. Default</w:t>
      </w:r>
    </w:p>
    <w:p>
      <w:pPr>
        <w:jc w:val="both"/>
      </w:pPr>
      <w:r>
        <w:rPr>
          <w:rFonts w:ascii="Calibri" w:hAnsi="Calibri" w:cs="Calibri"/>
          <w:b w:val="0"/>
          <w:i w:val="0"/>
          <w:color w:val="262626"/>
          <w:sz w:val="21"/>
        </w:rPr>
        <w:t>[State what happens if the buyer does not pay or the seller does not deliver: time allowed to remedy, return of the vehicle or the money, and the adjustments agreed.]</w:t>
      </w:r>
    </w:p>
    <w:p>
      <w:pPr>
        <w:spacing w:before="160" w:after="60"/>
        <w:pBdr>
          <w:bottom w:val="single" w:sz="4" w:space="4" w:color="A6A6A6"/>
        </w:pBdr>
      </w:pPr>
      <w:r>
        <w:rPr>
          <w:rFonts w:ascii="Calibri" w:hAnsi="Calibri" w:cs="Calibri"/>
          <w:b/>
          <w:i w:val="0"/>
          <w:color w:val="404040"/>
          <w:sz w:val="22"/>
        </w:rPr>
        <w:t>9. Personal data</w:t>
      </w:r>
    </w:p>
    <w:p>
      <w:pPr>
        <w:jc w:val="both"/>
      </w:pPr>
      <w:r>
        <w:rPr>
          <w:rFonts w:ascii="Calibri" w:hAnsi="Calibri" w:cs="Calibri"/>
          <w:b w:val="0"/>
          <w:i w:val="0"/>
          <w:color w:val="262626"/>
          <w:sz w:val="21"/>
        </w:rPr>
        <w:t>[State what the parties' data is used for and before whom they can exercise their rights. This is a general guide: have it reviewed by your adviser.]</w:t>
      </w:r>
    </w:p>
    <w:p>
      <w:pPr>
        <w:spacing w:before="160" w:after="60"/>
        <w:pBdr>
          <w:bottom w:val="single" w:sz="4" w:space="4" w:color="A6A6A6"/>
        </w:pBdr>
      </w:pPr>
      <w:r>
        <w:rPr>
          <w:rFonts w:ascii="Calibri" w:hAnsi="Calibri" w:cs="Calibri"/>
          <w:b/>
          <w:i w:val="0"/>
          <w:color w:val="404040"/>
          <w:sz w:val="22"/>
        </w:rPr>
        <w:t>10. Notes</w:t>
      </w:r>
    </w:p>
    <w:p>
      <w:pPr>
        <w:jc w:val="both"/>
      </w:pPr>
      <w:r>
        <w:rPr>
          <w:rFonts w:ascii="Calibri" w:hAnsi="Calibri" w:cs="Calibri"/>
          <w:b w:val="0"/>
          <w:i w:val="0"/>
          <w:color w:val="262626"/>
          <w:sz w:val="21"/>
        </w:rPr>
        <w:t>[Note what was agreed outside the points above: accessories included, repairs pending, committed dates.]</w:t>
      </w:r>
    </w:p>
    <w:p>
      <w:pPr>
        <w:spacing w:before="160" w:after="60"/>
        <w:pBdr>
          <w:bottom w:val="single" w:sz="4" w:space="4" w:color="A6A6A6"/>
        </w:pBdr>
      </w:pPr>
      <w:r>
        <w:rPr>
          <w:rFonts w:ascii="Calibri" w:hAnsi="Calibri" w:cs="Calibri"/>
          <w:b/>
          <w:i w:val="0"/>
          <w:color w:val="404040"/>
          <w:sz w:val="22"/>
        </w:rPr>
        <w:t>Signatures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19"/>
        <w:gridCol w:w="4819"/>
      </w:tblGrid>
      <w:tr>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THE SELLER</w:t>
            </w:r>
          </w:p>
          <w:p>
            <w:pPr>
              <w:spacing w:after="20"/>
            </w:pPr>
            <w:r>
              <w:rPr>
                <w:rFonts w:ascii="Calibri" w:hAnsi="Calibri" w:cs="Calibri"/>
                <w:b w:val="0"/>
                <w:i/>
                <w:color w:val="262626"/>
                <w:sz w:val="18"/>
              </w:rPr>
              <w:t>Full name, ID and signature</w:t>
            </w:r>
          </w:p>
        </w:tc>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THE BUYER</w:t>
            </w:r>
          </w:p>
          <w:p>
            <w:pPr>
              <w:spacing w:after="20"/>
            </w:pPr>
            <w:r>
              <w:rPr>
                <w:rFonts w:ascii="Calibri" w:hAnsi="Calibri" w:cs="Calibri"/>
                <w:b w:val="0"/>
                <w:i/>
                <w:color w:val="262626"/>
                <w:sz w:val="18"/>
              </w:rPr>
              <w:t>Full name, ID and signature</w:t>
            </w:r>
          </w:p>
        </w:tc>
      </w:tr>
    </w:tbl>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WITNESS</w:t>
            </w:r>
          </w:p>
          <w:p>
            <w:pPr>
              <w:spacing w:after="20"/>
            </w:pPr>
            <w:r>
              <w:rPr>
                <w:rFonts w:ascii="Calibri" w:hAnsi="Calibri" w:cs="Calibri"/>
                <w:b w:val="0"/>
                <w:i/>
                <w:color w:val="262626"/>
                <w:sz w:val="18"/>
              </w:rPr>
              <w:t>Full name, ID and 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is a general-purpose internal template. It is not legal advice: have your advisor or accountant review it and adapt it to the rules that apply to you before you use it.</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Vehicle sale agreement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compraventa de vehículo</dc:title>
  <dc:subject>Contrato de compraventa de vehículo usado</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