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ACUERDO DE CONFIDENCIALIDAD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Información confidencial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considera información confidencial toda la que las partes intercambien con ocasión de [proyecto, negociación o relación comercial], en cualquier soporte: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[Precios, descuentos y condiciones comerciales]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[Listas de clientes y proveedores]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[Procesos, fórmulas, desarrollos y documentación técnica]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[Información financiera y de inventarios]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Obligaciones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Cada parte se obliga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la información solo para el propósito del proyecto]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divulgarla a terceros sin autorización escrita]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[Limitar el acceso a las personas que realmente la necesitan]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[Protegerla con medidas razonables de seguridad]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Excepciones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No es confidencial la información que: sea pública sin culpa de quien la recibe; ya estuviera en su poder antes de recibirla; deba entregarse por requerimiento de una autoridad competente; o se obtenga legítimamente de un tercero sin deber de reserva.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Plazo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 del acuerdo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de la obligación después de terminar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Devolución de la información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Al terminar el acuerdo, cada parte devolverá o destruirá la información recibida y lo confirmará por escrito cuando la otra lo solicite.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Ley aplicable y controversias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acuerdo se interpreta según las leyes de [país] y cualquier controversia se resolverá [en los tribunales de [ciudad] / mediante el mecanismo de solución de controversias que las partes acuerden por escrito].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[archivo de cada parte]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Acuerdo de confidencialidad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</dc:title>
  <dc:subject>Acuerdo de confidencialidad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